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E83A" w14:textId="083A2163" w:rsidR="00D42F77" w:rsidRPr="00147E64" w:rsidRDefault="002C2ACE" w:rsidP="00D42F77">
      <w:pPr>
        <w:pStyle w:val="Titre"/>
        <w:jc w:val="left"/>
        <w:rPr>
          <w:rFonts w:ascii="Times New Roman" w:hAnsi="Times New Roman" w:cs="Times New Roman"/>
          <w:b/>
          <w:bCs/>
          <w:sz w:val="28"/>
          <w:szCs w:val="28"/>
        </w:rPr>
      </w:pPr>
      <w:r w:rsidRPr="00147E64">
        <w:rPr>
          <w:rFonts w:ascii="Times New Roman" w:hAnsi="Times New Roman" w:cs="Times New Roman"/>
          <w:b/>
          <w:bCs/>
          <w:sz w:val="28"/>
          <w:szCs w:val="28"/>
        </w:rPr>
        <w:t>L</w:t>
      </w:r>
      <w:r w:rsidRPr="00147E64">
        <w:rPr>
          <w:rFonts w:ascii="Times New Roman" w:hAnsi="Times New Roman" w:cs="Times New Roman"/>
          <w:b/>
          <w:bCs/>
          <w:sz w:val="28"/>
          <w:szCs w:val="28"/>
          <w:rtl/>
        </w:rPr>
        <w:t>’</w:t>
      </w:r>
      <w:r w:rsidRPr="00147E64">
        <w:rPr>
          <w:rFonts w:ascii="Times New Roman" w:hAnsi="Times New Roman" w:cs="Times New Roman"/>
          <w:b/>
          <w:bCs/>
          <w:sz w:val="28"/>
          <w:szCs w:val="28"/>
        </w:rPr>
        <w:t>intégration européenne par la régulation</w:t>
      </w:r>
      <w:r w:rsidR="00D42F77" w:rsidRPr="00147E64">
        <w:rPr>
          <w:rFonts w:ascii="Times New Roman" w:hAnsi="Times New Roman" w:cs="Times New Roman"/>
          <w:b/>
          <w:bCs/>
          <w:sz w:val="28"/>
          <w:szCs w:val="28"/>
        </w:rPr>
        <w:t>. L’opportunité de</w:t>
      </w:r>
      <w:r w:rsidRPr="00147E64">
        <w:rPr>
          <w:rFonts w:ascii="Times New Roman" w:hAnsi="Times New Roman" w:cs="Times New Roman"/>
          <w:b/>
          <w:bCs/>
          <w:sz w:val="28"/>
          <w:szCs w:val="28"/>
        </w:rPr>
        <w:t xml:space="preserve"> l</w:t>
      </w:r>
      <w:r w:rsidRPr="00147E64">
        <w:rPr>
          <w:rFonts w:ascii="Times New Roman" w:hAnsi="Times New Roman" w:cs="Times New Roman"/>
          <w:b/>
          <w:bCs/>
          <w:sz w:val="28"/>
          <w:szCs w:val="28"/>
          <w:rtl/>
        </w:rPr>
        <w:t>’</w:t>
      </w:r>
      <w:r w:rsidRPr="00147E64">
        <w:rPr>
          <w:rFonts w:ascii="Times New Roman" w:hAnsi="Times New Roman" w:cs="Times New Roman"/>
          <w:b/>
          <w:bCs/>
          <w:sz w:val="28"/>
          <w:szCs w:val="28"/>
        </w:rPr>
        <w:t xml:space="preserve">innovation technologique et </w:t>
      </w:r>
      <w:proofErr w:type="spellStart"/>
      <w:r w:rsidRPr="00147E64">
        <w:rPr>
          <w:rFonts w:ascii="Times New Roman" w:hAnsi="Times New Roman" w:cs="Times New Roman"/>
          <w:b/>
          <w:bCs/>
          <w:sz w:val="28"/>
          <w:szCs w:val="28"/>
        </w:rPr>
        <w:t>financi</w:t>
      </w:r>
      <w:proofErr w:type="spellEnd"/>
      <w:r w:rsidRPr="00147E64">
        <w:rPr>
          <w:rFonts w:ascii="Times New Roman" w:hAnsi="Times New Roman" w:cs="Times New Roman"/>
          <w:b/>
          <w:bCs/>
          <w:sz w:val="28"/>
          <w:szCs w:val="28"/>
          <w:lang w:val="it-IT"/>
        </w:rPr>
        <w:t>è</w:t>
      </w:r>
      <w:r w:rsidRPr="00147E64">
        <w:rPr>
          <w:rFonts w:ascii="Times New Roman" w:hAnsi="Times New Roman" w:cs="Times New Roman"/>
          <w:b/>
          <w:bCs/>
          <w:sz w:val="28"/>
          <w:szCs w:val="28"/>
        </w:rPr>
        <w:t>re</w:t>
      </w:r>
      <w:r w:rsidR="00D42F77" w:rsidRPr="00147E64">
        <w:rPr>
          <w:rFonts w:ascii="Times New Roman" w:hAnsi="Times New Roman" w:cs="Times New Roman"/>
          <w:b/>
          <w:bCs/>
          <w:sz w:val="28"/>
          <w:szCs w:val="28"/>
        </w:rPr>
        <w:t>.</w:t>
      </w:r>
    </w:p>
    <w:p w14:paraId="2539180C" w14:textId="391F94E7" w:rsidR="00D42F77" w:rsidRPr="00147E64" w:rsidRDefault="00D42F77" w:rsidP="00D42F77">
      <w:pPr>
        <w:pStyle w:val="Corps"/>
        <w:rPr>
          <w:rFonts w:ascii="Times New Roman" w:hAnsi="Times New Roman" w:cs="Times New Roman"/>
          <w:b/>
          <w:bCs/>
          <w:i/>
          <w:iCs/>
          <w:sz w:val="28"/>
          <w:szCs w:val="28"/>
        </w:rPr>
      </w:pPr>
      <w:r w:rsidRPr="00147E64">
        <w:rPr>
          <w:rFonts w:ascii="Times New Roman" w:hAnsi="Times New Roman" w:cs="Times New Roman"/>
          <w:b/>
          <w:bCs/>
          <w:i/>
          <w:iCs/>
          <w:sz w:val="28"/>
          <w:szCs w:val="28"/>
        </w:rPr>
        <w:t xml:space="preserve">The </w:t>
      </w:r>
      <w:proofErr w:type="spellStart"/>
      <w:r w:rsidRPr="00147E64">
        <w:rPr>
          <w:rFonts w:ascii="Times New Roman" w:hAnsi="Times New Roman" w:cs="Times New Roman"/>
          <w:b/>
          <w:bCs/>
          <w:i/>
          <w:iCs/>
          <w:sz w:val="28"/>
          <w:szCs w:val="28"/>
        </w:rPr>
        <w:t>European</w:t>
      </w:r>
      <w:proofErr w:type="spellEnd"/>
      <w:r w:rsidRPr="00147E64">
        <w:rPr>
          <w:rFonts w:ascii="Times New Roman" w:hAnsi="Times New Roman" w:cs="Times New Roman"/>
          <w:b/>
          <w:bCs/>
          <w:i/>
          <w:iCs/>
          <w:sz w:val="28"/>
          <w:szCs w:val="28"/>
        </w:rPr>
        <w:t xml:space="preserve"> Union </w:t>
      </w:r>
      <w:proofErr w:type="spellStart"/>
      <w:r w:rsidRPr="00147E64">
        <w:rPr>
          <w:rFonts w:ascii="Times New Roman" w:hAnsi="Times New Roman" w:cs="Times New Roman"/>
          <w:b/>
          <w:bCs/>
          <w:i/>
          <w:iCs/>
          <w:sz w:val="28"/>
          <w:szCs w:val="28"/>
        </w:rPr>
        <w:t>thought</w:t>
      </w:r>
      <w:proofErr w:type="spellEnd"/>
      <w:r w:rsidRPr="00147E64">
        <w:rPr>
          <w:rFonts w:ascii="Times New Roman" w:hAnsi="Times New Roman" w:cs="Times New Roman"/>
          <w:b/>
          <w:bCs/>
          <w:i/>
          <w:iCs/>
          <w:sz w:val="28"/>
          <w:szCs w:val="28"/>
        </w:rPr>
        <w:t xml:space="preserve"> </w:t>
      </w:r>
      <w:proofErr w:type="spellStart"/>
      <w:r w:rsidRPr="00147E64">
        <w:rPr>
          <w:rFonts w:ascii="Times New Roman" w:hAnsi="Times New Roman" w:cs="Times New Roman"/>
          <w:b/>
          <w:bCs/>
          <w:i/>
          <w:iCs/>
          <w:sz w:val="28"/>
          <w:szCs w:val="28"/>
        </w:rPr>
        <w:t>regulation</w:t>
      </w:r>
      <w:proofErr w:type="spellEnd"/>
      <w:r w:rsidRPr="00147E64">
        <w:rPr>
          <w:rFonts w:ascii="Times New Roman" w:hAnsi="Times New Roman" w:cs="Times New Roman"/>
          <w:b/>
          <w:bCs/>
          <w:i/>
          <w:iCs/>
          <w:sz w:val="28"/>
          <w:szCs w:val="28"/>
        </w:rPr>
        <w:t xml:space="preserve">. The </w:t>
      </w:r>
      <w:proofErr w:type="spellStart"/>
      <w:r w:rsidRPr="00147E64">
        <w:rPr>
          <w:rFonts w:ascii="Times New Roman" w:hAnsi="Times New Roman" w:cs="Times New Roman"/>
          <w:b/>
          <w:bCs/>
          <w:i/>
          <w:iCs/>
          <w:sz w:val="28"/>
          <w:szCs w:val="28"/>
        </w:rPr>
        <w:t>opportunity</w:t>
      </w:r>
      <w:proofErr w:type="spellEnd"/>
      <w:r w:rsidRPr="00147E64">
        <w:rPr>
          <w:rFonts w:ascii="Times New Roman" w:hAnsi="Times New Roman" w:cs="Times New Roman"/>
          <w:b/>
          <w:bCs/>
          <w:i/>
          <w:iCs/>
          <w:sz w:val="28"/>
          <w:szCs w:val="28"/>
        </w:rPr>
        <w:t xml:space="preserve"> of </w:t>
      </w:r>
      <w:proofErr w:type="spellStart"/>
      <w:r w:rsidRPr="00147E64">
        <w:rPr>
          <w:rFonts w:ascii="Times New Roman" w:hAnsi="Times New Roman" w:cs="Times New Roman"/>
          <w:b/>
          <w:bCs/>
          <w:i/>
          <w:iCs/>
          <w:sz w:val="28"/>
          <w:szCs w:val="28"/>
        </w:rPr>
        <w:t>financial</w:t>
      </w:r>
      <w:proofErr w:type="spellEnd"/>
      <w:r w:rsidRPr="00147E64">
        <w:rPr>
          <w:rFonts w:ascii="Times New Roman" w:hAnsi="Times New Roman" w:cs="Times New Roman"/>
          <w:b/>
          <w:bCs/>
          <w:i/>
          <w:iCs/>
          <w:sz w:val="28"/>
          <w:szCs w:val="28"/>
        </w:rPr>
        <w:t xml:space="preserve"> and </w:t>
      </w:r>
      <w:proofErr w:type="spellStart"/>
      <w:r w:rsidRPr="00147E64">
        <w:rPr>
          <w:rFonts w:ascii="Times New Roman" w:hAnsi="Times New Roman" w:cs="Times New Roman"/>
          <w:b/>
          <w:bCs/>
          <w:i/>
          <w:iCs/>
          <w:sz w:val="28"/>
          <w:szCs w:val="28"/>
        </w:rPr>
        <w:t>technological</w:t>
      </w:r>
      <w:proofErr w:type="spellEnd"/>
      <w:r w:rsidRPr="00147E64">
        <w:rPr>
          <w:rFonts w:ascii="Times New Roman" w:hAnsi="Times New Roman" w:cs="Times New Roman"/>
          <w:b/>
          <w:bCs/>
          <w:i/>
          <w:iCs/>
          <w:sz w:val="28"/>
          <w:szCs w:val="28"/>
        </w:rPr>
        <w:t xml:space="preserve"> innovation.</w:t>
      </w:r>
    </w:p>
    <w:p w14:paraId="366660E8" w14:textId="2A662B97" w:rsidR="004905AF" w:rsidRPr="00147E64" w:rsidRDefault="004905AF">
      <w:pPr>
        <w:pStyle w:val="Corps"/>
        <w:rPr>
          <w:rFonts w:ascii="Times New Roman" w:hAnsi="Times New Roman" w:cs="Times New Roman"/>
          <w:b/>
          <w:bCs/>
        </w:rPr>
      </w:pPr>
    </w:p>
    <w:p w14:paraId="30FECAB0" w14:textId="11F297B4" w:rsidR="00147E64" w:rsidRPr="00147E64" w:rsidRDefault="00147E64" w:rsidP="00147E64">
      <w:pPr>
        <w:pStyle w:val="Corpsali"/>
        <w:ind w:firstLine="0"/>
        <w:rPr>
          <w:rFonts w:ascii="Times New Roman" w:hAnsi="Times New Roman" w:cs="Times New Roman"/>
        </w:rPr>
      </w:pPr>
      <w:r w:rsidRPr="00147E64">
        <w:rPr>
          <w:rFonts w:ascii="Times New Roman" w:hAnsi="Times New Roman" w:cs="Times New Roman"/>
          <w:b/>
          <w:bCs/>
        </w:rPr>
        <w:t>Discipline</w:t>
      </w:r>
      <w:r w:rsidRPr="00147E64">
        <w:rPr>
          <w:rFonts w:ascii="Times New Roman" w:hAnsi="Times New Roman" w:cs="Times New Roman"/>
        </w:rPr>
        <w:t> : Science politique</w:t>
      </w:r>
    </w:p>
    <w:p w14:paraId="3463F4B8" w14:textId="77777777" w:rsidR="00147E64" w:rsidRDefault="00147E64">
      <w:pPr>
        <w:pStyle w:val="Titre2"/>
        <w:rPr>
          <w:rFonts w:ascii="Times New Roman" w:hAnsi="Times New Roman" w:cs="Times New Roman"/>
        </w:rPr>
      </w:pPr>
    </w:p>
    <w:p w14:paraId="10A08372" w14:textId="22B27CA1" w:rsidR="004905AF" w:rsidRPr="00147E64" w:rsidRDefault="002C2ACE">
      <w:pPr>
        <w:pStyle w:val="Titre2"/>
        <w:rPr>
          <w:rFonts w:ascii="Times New Roman" w:hAnsi="Times New Roman" w:cs="Times New Roman"/>
          <w:sz w:val="24"/>
          <w:szCs w:val="24"/>
        </w:rPr>
      </w:pPr>
      <w:r w:rsidRPr="00147E64">
        <w:rPr>
          <w:rFonts w:ascii="Times New Roman" w:hAnsi="Times New Roman" w:cs="Times New Roman"/>
          <w:sz w:val="24"/>
          <w:szCs w:val="24"/>
        </w:rPr>
        <w:t>Argumentaire</w:t>
      </w:r>
    </w:p>
    <w:p w14:paraId="78DF53C0" w14:textId="6B617337" w:rsidR="004905AF" w:rsidRPr="00147E64" w:rsidRDefault="002C2ACE">
      <w:pPr>
        <w:pStyle w:val="Corpsali"/>
        <w:rPr>
          <w:rFonts w:ascii="Times New Roman" w:hAnsi="Times New Roman" w:cs="Times New Roman"/>
        </w:rPr>
      </w:pPr>
      <w:r w:rsidRPr="00147E64">
        <w:rPr>
          <w:rFonts w:ascii="Times New Roman" w:hAnsi="Times New Roman" w:cs="Times New Roman"/>
        </w:rPr>
        <w:t xml:space="preserve">Sur fond d’enjeux liés à la souveraineté monétaire et de risques systémiques, l’annonce du « projet </w:t>
      </w:r>
      <w:proofErr w:type="spellStart"/>
      <w:r w:rsidRPr="00147E64">
        <w:rPr>
          <w:rFonts w:ascii="Times New Roman" w:hAnsi="Times New Roman" w:cs="Times New Roman"/>
        </w:rPr>
        <w:t>Libra</w:t>
      </w:r>
      <w:proofErr w:type="spellEnd"/>
      <w:r w:rsidRPr="00147E64">
        <w:rPr>
          <w:rFonts w:ascii="Times New Roman" w:hAnsi="Times New Roman" w:cs="Times New Roman"/>
        </w:rPr>
        <w:t xml:space="preserve"> » à l’été 2019 avait motivé l’Union européenne à créer un cadre réglementaire </w:t>
      </w:r>
      <w:r w:rsidRPr="00147E64">
        <w:rPr>
          <w:rStyle w:val="Aucun"/>
          <w:rFonts w:ascii="Times New Roman" w:hAnsi="Times New Roman" w:cs="Times New Roman"/>
          <w:i/>
          <w:iCs/>
        </w:rPr>
        <w:t xml:space="preserve">ad hoc </w:t>
      </w:r>
      <w:r w:rsidRPr="00147E64">
        <w:rPr>
          <w:rFonts w:ascii="Times New Roman" w:hAnsi="Times New Roman" w:cs="Times New Roman"/>
        </w:rPr>
        <w:t xml:space="preserve">pour les marchés des </w:t>
      </w:r>
      <w:proofErr w:type="spellStart"/>
      <w:r w:rsidRPr="00147E64">
        <w:rPr>
          <w:rFonts w:ascii="Times New Roman" w:hAnsi="Times New Roman" w:cs="Times New Roman"/>
        </w:rPr>
        <w:t>crypto-actifs</w:t>
      </w:r>
      <w:proofErr w:type="spellEnd"/>
      <w:r w:rsidRPr="00147E64">
        <w:rPr>
          <w:rFonts w:ascii="Times New Roman" w:hAnsi="Times New Roman" w:cs="Times New Roman"/>
        </w:rPr>
        <w:t>. Il s’agissait pour le consortium mené par Facebook et réunissant vingt-sept « géants »</w:t>
      </w:r>
      <w:r w:rsidRPr="00147E64">
        <w:rPr>
          <w:rFonts w:ascii="Times New Roman" w:hAnsi="Times New Roman" w:cs="Times New Roman"/>
          <w:lang w:val="en-US"/>
        </w:rPr>
        <w:t xml:space="preserve">, </w:t>
      </w:r>
      <w:proofErr w:type="spellStart"/>
      <w:r w:rsidRPr="00147E64">
        <w:rPr>
          <w:rFonts w:ascii="Times New Roman" w:hAnsi="Times New Roman" w:cs="Times New Roman"/>
          <w:lang w:val="en-US"/>
        </w:rPr>
        <w:t>tels</w:t>
      </w:r>
      <w:proofErr w:type="spellEnd"/>
      <w:r w:rsidRPr="00147E64">
        <w:rPr>
          <w:rFonts w:ascii="Times New Roman" w:hAnsi="Times New Roman" w:cs="Times New Roman"/>
          <w:lang w:val="en-US"/>
        </w:rPr>
        <w:t xml:space="preserve"> Visa, MasterCard, PayPal, Uber</w:t>
      </w:r>
      <w:r w:rsidRPr="00147E64">
        <w:rPr>
          <w:rFonts w:ascii="Times New Roman" w:hAnsi="Times New Roman" w:cs="Times New Roman"/>
        </w:rPr>
        <w:t>, de créer une monnaie privé</w:t>
      </w:r>
      <w:r w:rsidRPr="00147E64">
        <w:rPr>
          <w:rFonts w:ascii="Times New Roman" w:hAnsi="Times New Roman" w:cs="Times New Roman"/>
          <w:lang w:val="pt-PT"/>
        </w:rPr>
        <w:t>e adoss</w:t>
      </w:r>
      <w:proofErr w:type="spellStart"/>
      <w:r w:rsidRPr="00147E64">
        <w:rPr>
          <w:rFonts w:ascii="Times New Roman" w:hAnsi="Times New Roman" w:cs="Times New Roman"/>
        </w:rPr>
        <w:t>ée</w:t>
      </w:r>
      <w:proofErr w:type="spellEnd"/>
      <w:r w:rsidRPr="00147E64">
        <w:rPr>
          <w:rFonts w:ascii="Times New Roman" w:hAnsi="Times New Roman" w:cs="Times New Roman"/>
        </w:rPr>
        <w:t xml:space="preserve"> à parité au dollar. Comme le Bitcoin en circulation depuis 2009, ces objets numériques ne sont </w:t>
      </w:r>
      <w:r w:rsidRPr="00147E64">
        <w:rPr>
          <w:rFonts w:ascii="Times New Roman" w:hAnsi="Times New Roman" w:cs="Times New Roman"/>
          <w:lang w:val="it-IT"/>
        </w:rPr>
        <w:t xml:space="preserve">ni </w:t>
      </w:r>
      <w:r w:rsidRPr="00147E64">
        <w:rPr>
          <w:rFonts w:ascii="Times New Roman" w:hAnsi="Times New Roman" w:cs="Times New Roman"/>
        </w:rPr>
        <w:t>émis</w:t>
      </w:r>
      <w:r w:rsidR="00D42F77" w:rsidRPr="00147E64">
        <w:rPr>
          <w:rFonts w:ascii="Times New Roman" w:hAnsi="Times New Roman" w:cs="Times New Roman"/>
        </w:rPr>
        <w:t>,</w:t>
      </w:r>
      <w:r w:rsidRPr="00147E64">
        <w:rPr>
          <w:rFonts w:ascii="Times New Roman" w:hAnsi="Times New Roman" w:cs="Times New Roman"/>
        </w:rPr>
        <w:t xml:space="preserve"> ni garantis par une banque centrale ou n</w:t>
      </w:r>
      <w:r w:rsidRPr="00147E64">
        <w:rPr>
          <w:rFonts w:ascii="Times New Roman" w:hAnsi="Times New Roman" w:cs="Times New Roman"/>
          <w:rtl/>
        </w:rPr>
        <w:t>’</w:t>
      </w:r>
      <w:r w:rsidRPr="00147E64">
        <w:rPr>
          <w:rFonts w:ascii="Times New Roman" w:hAnsi="Times New Roman" w:cs="Times New Roman"/>
        </w:rPr>
        <w:t xml:space="preserve">importe quelle autre institution publique, et circulent à travers le monde </w:t>
      </w:r>
      <w:r w:rsidRPr="00147E64">
        <w:rPr>
          <w:rStyle w:val="Aucun"/>
          <w:rFonts w:ascii="Times New Roman" w:hAnsi="Times New Roman" w:cs="Times New Roman"/>
          <w:i/>
          <w:iCs/>
        </w:rPr>
        <w:t xml:space="preserve">via </w:t>
      </w:r>
      <w:r w:rsidRPr="00147E64">
        <w:rPr>
          <w:rFonts w:ascii="Times New Roman" w:hAnsi="Times New Roman" w:cs="Times New Roman"/>
        </w:rPr>
        <w:t xml:space="preserve">une infrastructure numérique de registres distribués ou blockchain. </w:t>
      </w:r>
    </w:p>
    <w:p w14:paraId="2A9CD474" w14:textId="77777777" w:rsidR="004905AF" w:rsidRPr="00147E64" w:rsidRDefault="002C2ACE">
      <w:pPr>
        <w:pStyle w:val="Corpsali"/>
        <w:rPr>
          <w:rFonts w:ascii="Times New Roman" w:hAnsi="Times New Roman" w:cs="Times New Roman"/>
        </w:rPr>
      </w:pPr>
      <w:r w:rsidRPr="00147E64">
        <w:rPr>
          <w:rFonts w:ascii="Times New Roman" w:hAnsi="Times New Roman" w:cs="Times New Roman"/>
        </w:rPr>
        <w:t xml:space="preserve">Alors que l’interconnexion des marchés financiers et l’importance de la réglementation des innovations financières ne sont plus à démontrer depuis la crise de 2007-2008, l’Autorité bancaire européenne et l’Autorité européenne des marchés financiers ont un rôle à jouer dans l’encadrement des </w:t>
      </w:r>
      <w:r w:rsidRPr="00147E64">
        <w:rPr>
          <w:rFonts w:ascii="Times New Roman" w:hAnsi="Times New Roman" w:cs="Times New Roman"/>
          <w:lang w:val="en-US"/>
        </w:rPr>
        <w:t xml:space="preserve">innovations </w:t>
      </w:r>
      <w:r w:rsidRPr="00147E64">
        <w:rPr>
          <w:rFonts w:ascii="Times New Roman" w:hAnsi="Times New Roman" w:cs="Times New Roman"/>
        </w:rPr>
        <w:t>technologiques appliquées à la finance. Il s</w:t>
      </w:r>
      <w:r w:rsidRPr="00147E64">
        <w:rPr>
          <w:rFonts w:ascii="Times New Roman" w:hAnsi="Times New Roman" w:cs="Times New Roman"/>
          <w:rtl/>
        </w:rPr>
        <w:t>’</w:t>
      </w:r>
      <w:r w:rsidRPr="00147E64">
        <w:rPr>
          <w:rFonts w:ascii="Times New Roman" w:hAnsi="Times New Roman" w:cs="Times New Roman"/>
        </w:rPr>
        <w:t>agit de voir les opportunités institutionnelles d</w:t>
      </w:r>
      <w:r w:rsidRPr="00147E64">
        <w:rPr>
          <w:rFonts w:ascii="Times New Roman" w:hAnsi="Times New Roman" w:cs="Times New Roman"/>
          <w:rtl/>
        </w:rPr>
        <w:t>’</w:t>
      </w:r>
      <w:r w:rsidRPr="00147E64">
        <w:rPr>
          <w:rFonts w:ascii="Times New Roman" w:hAnsi="Times New Roman" w:cs="Times New Roman"/>
        </w:rPr>
        <w:t>approfondissement de l</w:t>
      </w:r>
      <w:r w:rsidRPr="00147E64">
        <w:rPr>
          <w:rFonts w:ascii="Times New Roman" w:hAnsi="Times New Roman" w:cs="Times New Roman"/>
          <w:rtl/>
        </w:rPr>
        <w:t>’</w:t>
      </w:r>
      <w:r w:rsidRPr="00147E64">
        <w:rPr>
          <w:rFonts w:ascii="Times New Roman" w:hAnsi="Times New Roman" w:cs="Times New Roman"/>
        </w:rPr>
        <w:t>intégration européenne pour les autorités supranationales de supervision des marchés, au détriment des autorités nationales</w:t>
      </w:r>
    </w:p>
    <w:p w14:paraId="4F968834" w14:textId="5CEDF416" w:rsidR="00D42F77" w:rsidRPr="00147E64" w:rsidRDefault="002C2ACE">
      <w:pPr>
        <w:pStyle w:val="Corpsali"/>
        <w:rPr>
          <w:rStyle w:val="v1s1"/>
          <w:rFonts w:ascii="Times New Roman" w:hAnsi="Times New Roman" w:cs="Times New Roman"/>
        </w:rPr>
      </w:pPr>
      <w:r w:rsidRPr="00147E64">
        <w:rPr>
          <w:rFonts w:ascii="Times New Roman" w:hAnsi="Times New Roman" w:cs="Times New Roman"/>
        </w:rPr>
        <w:t xml:space="preserve">D’abord, le règlement sur les marchés des </w:t>
      </w:r>
      <w:proofErr w:type="spellStart"/>
      <w:r w:rsidRPr="00147E64">
        <w:rPr>
          <w:rFonts w:ascii="Times New Roman" w:hAnsi="Times New Roman" w:cs="Times New Roman"/>
        </w:rPr>
        <w:t>crypto-actifs</w:t>
      </w:r>
      <w:proofErr w:type="spellEnd"/>
      <w:r w:rsidRPr="00147E64">
        <w:rPr>
          <w:rFonts w:ascii="Times New Roman" w:hAnsi="Times New Roman" w:cs="Times New Roman"/>
        </w:rPr>
        <w:t xml:space="preserve"> (</w:t>
      </w:r>
      <w:proofErr w:type="spellStart"/>
      <w:r w:rsidRPr="00147E64">
        <w:rPr>
          <w:rFonts w:ascii="Times New Roman" w:hAnsi="Times New Roman" w:cs="Times New Roman"/>
        </w:rPr>
        <w:t>MiCA</w:t>
      </w:r>
      <w:proofErr w:type="spellEnd"/>
      <w:r w:rsidRPr="00147E64">
        <w:rPr>
          <w:rFonts w:ascii="Times New Roman" w:hAnsi="Times New Roman" w:cs="Times New Roman"/>
        </w:rPr>
        <w:t>), entré en vigueur en 2023, renforce les compétences des deux autorités européennes citées plus haut en matière de supervision, laissant augurer une consolidation de leur position dans l’édifice européen. Ensuite, et de façon plus générale, l’innovation technologique cristallise les ambitions économiques en même temps qu’elle est génératrice de risques</w:t>
      </w:r>
      <w:r w:rsidR="008F0BB1" w:rsidRPr="00147E64">
        <w:rPr>
          <w:rFonts w:ascii="Times New Roman" w:hAnsi="Times New Roman" w:cs="Times New Roman"/>
        </w:rPr>
        <w:t>,</w:t>
      </w:r>
      <w:r w:rsidR="00D42F77" w:rsidRPr="00147E64">
        <w:rPr>
          <w:rStyle w:val="v1s1"/>
          <w:rFonts w:ascii="Times New Roman" w:hAnsi="Times New Roman" w:cs="Times New Roman"/>
        </w:rPr>
        <w:t xml:space="preserve"> l’intelligence artificielle en étant un exemple supplémentaire. </w:t>
      </w:r>
    </w:p>
    <w:p w14:paraId="5D8F289A" w14:textId="6F2DEAD3" w:rsidR="004905AF" w:rsidRPr="00147E64" w:rsidRDefault="002C2ACE">
      <w:pPr>
        <w:pStyle w:val="Corpsali"/>
        <w:rPr>
          <w:rFonts w:ascii="Times New Roman" w:hAnsi="Times New Roman" w:cs="Times New Roman"/>
        </w:rPr>
      </w:pPr>
      <w:r w:rsidRPr="00147E64">
        <w:rPr>
          <w:rFonts w:ascii="Times New Roman" w:hAnsi="Times New Roman" w:cs="Times New Roman"/>
        </w:rPr>
        <w:t>Dans ce contexte, l’UE cherche à tirer son épingle du jeu en mettant au point une politique de régulation de l’innovation, permettant de tenir ensemble des objectifs économiques et de gestion des risques, pour faire face à ses concurrents sur la scène internationale. En faisant un pas de côté, il s’agit aussi de remarquer la transformation du logiciel des autorités de régulation, obligées de tenir compte de ces impératifs économiques et géopolitiques.</w:t>
      </w:r>
    </w:p>
    <w:sectPr w:rsidR="004905AF" w:rsidRPr="00147E64">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15FC" w14:textId="77777777" w:rsidR="00B976F1" w:rsidRDefault="00B976F1">
      <w:r>
        <w:separator/>
      </w:r>
    </w:p>
  </w:endnote>
  <w:endnote w:type="continuationSeparator" w:id="0">
    <w:p w14:paraId="65996581" w14:textId="77777777" w:rsidR="00B976F1" w:rsidRDefault="00B9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Baskerville">
    <w:altName w:val="Baskerville Old Face"/>
    <w:charset w:val="00"/>
    <w:family w:val="roman"/>
    <w:pitch w:val="default"/>
  </w:font>
  <w:font w:name="Bodoni SvtyTwo OS ITC TT-Book">
    <w:altName w:val="Cambria"/>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5287" w14:textId="77777777" w:rsidR="004905AF" w:rsidRDefault="002C2ACE">
    <w:pPr>
      <w:pStyle w:val="En-tte"/>
      <w:tabs>
        <w:tab w:val="clear" w:pos="9020"/>
        <w:tab w:val="center" w:pos="4819"/>
        <w:tab w:val="right" w:pos="9638"/>
      </w:tabs>
    </w:pPr>
    <w:r>
      <w:tab/>
    </w:r>
    <w:r>
      <w:fldChar w:fldCharType="begin"/>
    </w:r>
    <w:r>
      <w:instrText xml:space="preserve"> PAGE </w:instrText>
    </w:r>
    <w:r>
      <w:fldChar w:fldCharType="separate"/>
    </w:r>
    <w:r w:rsidR="00D42F77">
      <w:rPr>
        <w:noProof/>
      </w:rPr>
      <w:t>1</w:t>
    </w:r>
    <w:r>
      <w:fldChar w:fldCharType="end"/>
    </w:r>
    <w:r>
      <w:t xml:space="preserve"> sur </w:t>
    </w:r>
    <w:r w:rsidR="00B976F1">
      <w:fldChar w:fldCharType="begin"/>
    </w:r>
    <w:r w:rsidR="00B976F1">
      <w:instrText xml:space="preserve"> NUMPAGES </w:instrText>
    </w:r>
    <w:r w:rsidR="00B976F1">
      <w:fldChar w:fldCharType="separate"/>
    </w:r>
    <w:r w:rsidR="00D42F77">
      <w:rPr>
        <w:noProof/>
      </w:rPr>
      <w:t>1</w:t>
    </w:r>
    <w:r w:rsidR="00B976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244E" w14:textId="77777777" w:rsidR="00B976F1" w:rsidRDefault="00B976F1">
      <w:r>
        <w:separator/>
      </w:r>
    </w:p>
  </w:footnote>
  <w:footnote w:type="continuationSeparator" w:id="0">
    <w:p w14:paraId="371E8D4D" w14:textId="77777777" w:rsidR="00B976F1" w:rsidRDefault="00B9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65FB" w14:textId="77777777" w:rsidR="004905AF" w:rsidRDefault="004905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AF"/>
    <w:rsid w:val="00147E64"/>
    <w:rsid w:val="002B28F3"/>
    <w:rsid w:val="002C2ACE"/>
    <w:rsid w:val="00475D37"/>
    <w:rsid w:val="004905AF"/>
    <w:rsid w:val="00543EE0"/>
    <w:rsid w:val="008F0BB1"/>
    <w:rsid w:val="00A32823"/>
    <w:rsid w:val="00B976F1"/>
    <w:rsid w:val="00D42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5612"/>
  <w15:docId w15:val="{E5FC358A-2E80-45AC-B3DA-9EDC287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next w:val="Corpsali"/>
    <w:uiPriority w:val="9"/>
    <w:unhideWhenUsed/>
    <w:qFormat/>
    <w:pPr>
      <w:keepNext/>
      <w:spacing w:before="200" w:after="60"/>
      <w:jc w:val="both"/>
      <w:outlineLvl w:val="1"/>
    </w:pPr>
    <w:rPr>
      <w:rFonts w:ascii="Baskerville" w:hAnsi="Baskerville" w:cs="Arial Unicode MS"/>
      <w:b/>
      <w:bCs/>
      <w:color w:val="000000"/>
      <w:sz w:val="28"/>
      <w:szCs w:val="28"/>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Baskerville" w:hAnsi="Baskerville" w:cs="Arial Unicode MS"/>
      <w:color w:val="000000"/>
      <w:sz w:val="16"/>
      <w:szCs w:val="16"/>
      <w14:textOutline w14:w="0" w14:cap="flat" w14:cmpd="sng" w14:algn="ctr">
        <w14:noFill/>
        <w14:prstDash w14:val="solid"/>
        <w14:bevel/>
      </w14:textOutline>
    </w:rPr>
  </w:style>
  <w:style w:type="paragraph" w:styleId="Titre">
    <w:name w:val="Title"/>
    <w:next w:val="Corps"/>
    <w:uiPriority w:val="10"/>
    <w:qFormat/>
    <w:pPr>
      <w:keepNext/>
      <w:spacing w:after="120"/>
      <w:jc w:val="center"/>
    </w:pPr>
    <w:rPr>
      <w:rFonts w:ascii="Bodoni SvtyTwo OS ITC TT-Book" w:hAnsi="Bodoni SvtyTwo OS ITC TT-Book" w:cs="Arial Unicode MS"/>
      <w:color w:val="000000"/>
      <w:sz w:val="30"/>
      <w:szCs w:val="30"/>
      <w14:textOutline w14:w="0" w14:cap="flat" w14:cmpd="sng" w14:algn="ctr">
        <w14:noFill/>
        <w14:prstDash w14:val="solid"/>
        <w14:bevel/>
      </w14:textOutline>
    </w:rPr>
  </w:style>
  <w:style w:type="paragraph" w:customStyle="1" w:styleId="Corps">
    <w:name w:val="Corps"/>
    <w:pPr>
      <w:spacing w:before="20" w:after="40"/>
      <w:jc w:val="both"/>
    </w:pPr>
    <w:rPr>
      <w:rFonts w:ascii="Baskerville" w:hAnsi="Baskerville" w:cs="Arial Unicode MS"/>
      <w:color w:val="000000"/>
      <w:sz w:val="24"/>
      <w:szCs w:val="24"/>
      <w14:textOutline w14:w="0" w14:cap="flat" w14:cmpd="sng" w14:algn="ctr">
        <w14:noFill/>
        <w14:prstDash w14:val="solid"/>
        <w14:bevel/>
      </w14:textOutline>
    </w:rPr>
  </w:style>
  <w:style w:type="paragraph" w:customStyle="1" w:styleId="Corpsali">
    <w:name w:val="Corps ali"/>
    <w:pPr>
      <w:spacing w:before="20" w:after="40"/>
      <w:ind w:firstLine="283"/>
      <w:jc w:val="both"/>
    </w:pPr>
    <w:rPr>
      <w:rFonts w:ascii="Baskerville" w:hAnsi="Baskerville" w:cs="Arial Unicode MS"/>
      <w:color w:val="000000"/>
      <w:sz w:val="24"/>
      <w:szCs w:val="24"/>
      <w14:textOutline w14:w="0" w14:cap="flat" w14:cmpd="sng" w14:algn="ctr">
        <w14:noFill/>
        <w14:prstDash w14:val="solid"/>
        <w14:bevel/>
      </w14:textOutline>
    </w:rPr>
  </w:style>
  <w:style w:type="character" w:customStyle="1" w:styleId="Aucun">
    <w:name w:val="Aucun"/>
    <w:rPr>
      <w:lang w:val="fr-FR"/>
    </w:rPr>
  </w:style>
  <w:style w:type="character" w:customStyle="1" w:styleId="v1s1">
    <w:name w:val="v1s1"/>
    <w:basedOn w:val="Policepardfaut"/>
    <w:rsid w:val="00D4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Bodoni SvtyTwo OS ITC TT-Book"/>
        <a:ea typeface="Bodoni SvtyTwo OS ITC TT-Book"/>
        <a:cs typeface="Bodoni SvtyTwo OS ITC TT-Book"/>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179999" algn="just" defTabSz="457200" rtl="0" fontAlgn="auto" latinLnBrk="0" hangingPunct="0">
          <a:lnSpc>
            <a:spcPct val="100000"/>
          </a:lnSpc>
          <a:spcBef>
            <a:spcPts val="200"/>
          </a:spcBef>
          <a:spcAft>
            <a:spcPts val="0"/>
          </a:spcAft>
          <a:buClrTx/>
          <a:buSzTx/>
          <a:buFontTx/>
          <a:buNone/>
          <a:tabLst/>
          <a:defRPr kumimoji="0" sz="1200" b="0" i="0" u="none" strike="noStrike" cap="none" spc="0" normalizeH="0" baseline="0">
            <a:ln>
              <a:noFill/>
            </a:ln>
            <a:solidFill>
              <a:srgbClr val="000000"/>
            </a:solidFill>
            <a:effectLst/>
            <a:uFillTx/>
            <a:latin typeface="Baskerville"/>
            <a:ea typeface="Baskerville"/>
            <a:cs typeface="Baskerville"/>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371</Words>
  <Characters>2042</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cp:lastModifiedBy>
  <cp:revision>7</cp:revision>
  <dcterms:created xsi:type="dcterms:W3CDTF">2024-04-30T08:37:00Z</dcterms:created>
  <dcterms:modified xsi:type="dcterms:W3CDTF">2024-05-07T08:15:00Z</dcterms:modified>
</cp:coreProperties>
</file>